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CEA1F" w14:textId="77777777" w:rsidR="004D1446" w:rsidRPr="008576AA" w:rsidRDefault="004D1446" w:rsidP="008576AA">
      <w:pPr>
        <w:pStyle w:val="SOPLevel1"/>
      </w:pPr>
      <w:bookmarkStart w:id="0" w:name="_GoBack"/>
      <w:bookmarkEnd w:id="0"/>
      <w:r w:rsidRPr="008576AA">
        <w:t>PURPOSE</w:t>
      </w:r>
    </w:p>
    <w:p w14:paraId="250E6993" w14:textId="77777777" w:rsidR="004D1446" w:rsidRPr="00E868D3" w:rsidRDefault="004D1446" w:rsidP="00BA6AAD">
      <w:pPr>
        <w:pStyle w:val="SOPLevel2"/>
      </w:pPr>
      <w:r w:rsidRPr="00E868D3">
        <w:t>This procedure establishes the process to prepare for a convened IRB meeting.</w:t>
      </w:r>
    </w:p>
    <w:p w14:paraId="34F4FCBA" w14:textId="77777777" w:rsidR="004D1446" w:rsidRPr="00E868D3" w:rsidRDefault="004D1446" w:rsidP="00BA6AAD">
      <w:pPr>
        <w:pStyle w:val="SOPLevel2"/>
      </w:pPr>
      <w:r w:rsidRPr="00E868D3">
        <w:t xml:space="preserve">The process begins when the agenda is closed, approximately </w:t>
      </w:r>
      <w:r>
        <w:t>10</w:t>
      </w:r>
      <w:r w:rsidRPr="00E868D3">
        <w:t xml:space="preserve"> days before a meeting date.</w:t>
      </w:r>
    </w:p>
    <w:p w14:paraId="35903A9F" w14:textId="77777777" w:rsidR="004D1446" w:rsidRPr="00E868D3" w:rsidRDefault="004D1446" w:rsidP="00CD4B62">
      <w:pPr>
        <w:pStyle w:val="SOPLevel2"/>
      </w:pPr>
      <w:r w:rsidRPr="00E868D3">
        <w:t xml:space="preserve">The process ends when </w:t>
      </w:r>
      <w:r>
        <w:t xml:space="preserve">IRB meeting </w:t>
      </w:r>
      <w:r w:rsidRPr="00E868D3">
        <w:t xml:space="preserve">agenda </w:t>
      </w:r>
      <w:r>
        <w:t>materials</w:t>
      </w:r>
      <w:r w:rsidRPr="00E868D3">
        <w:t xml:space="preserve"> have been </w:t>
      </w:r>
      <w:r>
        <w:t>sent or made available</w:t>
      </w:r>
      <w:r w:rsidRPr="00E868D3">
        <w:t xml:space="preserve"> to IRB members.</w:t>
      </w:r>
    </w:p>
    <w:p w14:paraId="7925B170" w14:textId="77777777" w:rsidR="004D1446" w:rsidRPr="00E868D3" w:rsidRDefault="004D1446" w:rsidP="008576AA">
      <w:pPr>
        <w:pStyle w:val="SOPLevel1"/>
      </w:pPr>
      <w:r w:rsidRPr="00E868D3">
        <w:t>REVISIONS FROM PREVIOUS VERSION</w:t>
      </w:r>
    </w:p>
    <w:p w14:paraId="36150110" w14:textId="77777777" w:rsidR="004D1446" w:rsidRPr="00E868D3" w:rsidRDefault="004D1446" w:rsidP="0004797A">
      <w:pPr>
        <w:pStyle w:val="SOPLevel2"/>
      </w:pPr>
      <w:r>
        <w:t>None</w:t>
      </w:r>
      <w:r w:rsidRPr="00E868D3">
        <w:t>.</w:t>
      </w:r>
    </w:p>
    <w:p w14:paraId="5ED68187" w14:textId="77777777" w:rsidR="004D1446" w:rsidRPr="00E868D3" w:rsidRDefault="004D1446" w:rsidP="008576AA">
      <w:pPr>
        <w:pStyle w:val="SOPLevel1"/>
      </w:pPr>
      <w:r w:rsidRPr="00E868D3">
        <w:t>POLICY</w:t>
      </w:r>
    </w:p>
    <w:p w14:paraId="6633F327" w14:textId="77777777" w:rsidR="004D1446" w:rsidRPr="00E868D3" w:rsidRDefault="004D1446" w:rsidP="0004797A">
      <w:pPr>
        <w:pStyle w:val="SOPLevel2"/>
      </w:pPr>
      <w:r>
        <w:t>At least o</w:t>
      </w:r>
      <w:r w:rsidRPr="00E868D3">
        <w:t xml:space="preserve">ne IRB member or consultant is responsible for scientific/scholarly review of </w:t>
      </w:r>
      <w:r w:rsidRPr="00CE1E33">
        <w:t>research</w:t>
      </w:r>
      <w:r w:rsidRPr="00E868D3">
        <w:t>.</w:t>
      </w:r>
    </w:p>
    <w:p w14:paraId="72041A92" w14:textId="77777777" w:rsidR="004D1446" w:rsidRPr="00E868D3" w:rsidRDefault="004D1446" w:rsidP="00BA6AAD">
      <w:pPr>
        <w:pStyle w:val="SOPLevel2"/>
      </w:pPr>
      <w:r w:rsidRPr="00E868D3">
        <w:t>Protocols are reviewed by IRB members and consultants with sufficient expertise.</w:t>
      </w:r>
    </w:p>
    <w:p w14:paraId="227C5976" w14:textId="77777777" w:rsidR="004D1446" w:rsidRPr="00E868D3" w:rsidRDefault="004D1446" w:rsidP="00BA6AAD">
      <w:pPr>
        <w:pStyle w:val="SOPLevel2"/>
      </w:pPr>
      <w:r w:rsidRPr="00E868D3">
        <w:rPr>
          <w:rFonts w:cs="Calibri"/>
        </w:rPr>
        <w:t xml:space="preserve">When IRB members review </w:t>
      </w:r>
      <w:r w:rsidRPr="00CE1E33">
        <w:rPr>
          <w:rFonts w:cs="Calibri"/>
        </w:rPr>
        <w:t>research</w:t>
      </w:r>
      <w:r w:rsidRPr="00E868D3">
        <w:rPr>
          <w:rFonts w:cs="Calibri"/>
        </w:rPr>
        <w:t xml:space="preserve"> that involves vulnerable </w:t>
      </w:r>
      <w:r>
        <w:rPr>
          <w:rFonts w:cs="Calibri"/>
        </w:rPr>
        <w:t>subject</w:t>
      </w:r>
      <w:r w:rsidRPr="00E868D3">
        <w:rPr>
          <w:rFonts w:cs="Calibri"/>
        </w:rPr>
        <w:t xml:space="preserve">s, at least one individual who is knowledgeable about or experienced in working with such </w:t>
      </w:r>
      <w:r>
        <w:rPr>
          <w:rFonts w:cs="Calibri"/>
        </w:rPr>
        <w:t>subject</w:t>
      </w:r>
      <w:r w:rsidRPr="00E868D3">
        <w:rPr>
          <w:rFonts w:cs="Calibri"/>
        </w:rPr>
        <w:t>s will be present at the meeting.</w:t>
      </w:r>
    </w:p>
    <w:p w14:paraId="1780D89D" w14:textId="77777777" w:rsidR="004D1446" w:rsidRPr="00E868D3" w:rsidRDefault="004D1446" w:rsidP="00BA6AAD">
      <w:pPr>
        <w:pStyle w:val="SOPLevel2"/>
      </w:pPr>
      <w:r w:rsidRPr="00E868D3">
        <w:rPr>
          <w:rFonts w:cs="Calibri"/>
        </w:rPr>
        <w:t>IRB members are provided sufficient information so that each member can provide an opinion on whether the regulatory criteria for approval are met.</w:t>
      </w:r>
    </w:p>
    <w:p w14:paraId="4502C338" w14:textId="77777777" w:rsidR="004D1446" w:rsidRPr="00E868D3" w:rsidRDefault="004D1446" w:rsidP="00BA6AAD">
      <w:pPr>
        <w:pStyle w:val="SOPLevel2"/>
      </w:pPr>
      <w:r w:rsidRPr="00E868D3">
        <w:rPr>
          <w:rFonts w:cs="Calibri"/>
        </w:rPr>
        <w:t xml:space="preserve">Alternate IRB members serve the same function as other IRB members, except that if the alternate IRB member and the regular IRB member for whom the alternate member is substituting </w:t>
      </w:r>
      <w:r>
        <w:rPr>
          <w:rFonts w:cs="Calibri"/>
        </w:rPr>
        <w:t xml:space="preserve">are both present </w:t>
      </w:r>
      <w:r w:rsidRPr="00E868D3">
        <w:rPr>
          <w:rFonts w:cs="Calibri"/>
        </w:rPr>
        <w:t xml:space="preserve">only one </w:t>
      </w:r>
      <w:r>
        <w:rPr>
          <w:rFonts w:cs="Calibri"/>
        </w:rPr>
        <w:t xml:space="preserve">member </w:t>
      </w:r>
      <w:r w:rsidRPr="00E868D3">
        <w:rPr>
          <w:rFonts w:cs="Calibri"/>
        </w:rPr>
        <w:t>may vote.</w:t>
      </w:r>
    </w:p>
    <w:p w14:paraId="1608206D" w14:textId="77777777" w:rsidR="004D1446" w:rsidRPr="00C14AD2" w:rsidRDefault="004D1446" w:rsidP="003D0299">
      <w:pPr>
        <w:pStyle w:val="SOPLevel2"/>
      </w:pPr>
      <w:r>
        <w:t>Review</w:t>
      </w:r>
      <w:r w:rsidRPr="00E868D3">
        <w:t xml:space="preserve"> materials are provided to all IRB members at least </w:t>
      </w:r>
      <w:r>
        <w:t>7 days</w:t>
      </w:r>
      <w:r w:rsidRPr="00E868D3">
        <w:t xml:space="preserve"> before convened meetings.</w:t>
      </w:r>
      <w:r w:rsidRPr="003D0299">
        <w:t xml:space="preserve"> </w:t>
      </w:r>
    </w:p>
    <w:p w14:paraId="50D0AA59" w14:textId="77777777" w:rsidR="004D1446" w:rsidRPr="00E868D3" w:rsidRDefault="004D1446" w:rsidP="00BF7BB0">
      <w:pPr>
        <w:pStyle w:val="SOPLevel1"/>
      </w:pPr>
      <w:r w:rsidRPr="00E868D3">
        <w:t>RESPONSIBILITIES</w:t>
      </w:r>
    </w:p>
    <w:p w14:paraId="7023ED5F" w14:textId="77777777" w:rsidR="004D1446" w:rsidRPr="00E868D3" w:rsidRDefault="004D1446" w:rsidP="00D9616B">
      <w:pPr>
        <w:pStyle w:val="SOPLevel2"/>
      </w:pPr>
      <w:r w:rsidRPr="00E868D3">
        <w:t>IRB staff members carry out these procedures.</w:t>
      </w:r>
    </w:p>
    <w:p w14:paraId="2D565BEF" w14:textId="77777777" w:rsidR="004D1446" w:rsidRPr="00E868D3" w:rsidRDefault="004D1446" w:rsidP="008576AA">
      <w:pPr>
        <w:pStyle w:val="SOPLevel1"/>
      </w:pPr>
      <w:r w:rsidRPr="00E868D3">
        <w:t>PROCEDURE</w:t>
      </w:r>
    </w:p>
    <w:p w14:paraId="6511B491" w14:textId="77777777" w:rsidR="004D1446" w:rsidRDefault="004D1446" w:rsidP="00BF7BB0">
      <w:pPr>
        <w:pStyle w:val="SOPLevel2"/>
      </w:pPr>
      <w:r w:rsidRPr="00E868D3">
        <w:t>Confirm which IRB members (regular, alternate, and chairs) will be present at the meeting</w:t>
      </w:r>
      <w:r>
        <w:t>.</w:t>
      </w:r>
    </w:p>
    <w:p w14:paraId="73490939" w14:textId="77777777" w:rsidR="004D1446" w:rsidRDefault="004D1446" w:rsidP="00BF7BB0">
      <w:pPr>
        <w:pStyle w:val="SOPLevel2"/>
      </w:pPr>
      <w:r>
        <w:t>Consult “DATABASE: IRB Roster (HRP-601)</w:t>
      </w:r>
      <w:r w:rsidRPr="00122163">
        <w:t>”</w:t>
      </w:r>
      <w:r w:rsidRPr="001133AD">
        <w:t xml:space="preserve"> </w:t>
      </w:r>
      <w:r>
        <w:t>to be aware of the experience, expertise, and representational capacity of the IRB.</w:t>
      </w:r>
    </w:p>
    <w:p w14:paraId="53F3B4C9" w14:textId="77777777" w:rsidR="004D1446" w:rsidRDefault="004D1446" w:rsidP="00BE31EA">
      <w:pPr>
        <w:pStyle w:val="SOPLevel2"/>
      </w:pPr>
      <w:r>
        <w:t>Review all submissions placed on the agenda for a convened IRB meeting.</w:t>
      </w:r>
    </w:p>
    <w:p w14:paraId="476B5E35" w14:textId="77777777" w:rsidR="004D1446" w:rsidRPr="0057270D" w:rsidRDefault="004D1446" w:rsidP="00B03376">
      <w:pPr>
        <w:pStyle w:val="SOPLevel2"/>
      </w:pPr>
      <w:r w:rsidRPr="0057270D">
        <w:t>Prepare an agenda for the meeting.</w:t>
      </w:r>
    </w:p>
    <w:p w14:paraId="7D09F343" w14:textId="77777777" w:rsidR="004D1446" w:rsidRPr="00884824" w:rsidRDefault="004D1446" w:rsidP="00B03376">
      <w:pPr>
        <w:pStyle w:val="SOPLevel3"/>
      </w:pPr>
      <w:r w:rsidRPr="00884824">
        <w:t>Assign a primary reviewer to each agenda item.</w:t>
      </w:r>
    </w:p>
    <w:p w14:paraId="01C653A5" w14:textId="77777777" w:rsidR="004D1446" w:rsidRPr="00884824" w:rsidRDefault="004D1446" w:rsidP="00B03376">
      <w:pPr>
        <w:pStyle w:val="SOPLevel3"/>
      </w:pPr>
      <w:r w:rsidRPr="00884824">
        <w:t>Assign a scientific/scholarly reviewer to each agenda item who has scientific/scholarly expertise in the area of research. The primary reviewer and scientific/scholarly reviewer may be the same individual.</w:t>
      </w:r>
    </w:p>
    <w:p w14:paraId="52F1B1E3" w14:textId="77777777" w:rsidR="004D1446" w:rsidRDefault="004D1446" w:rsidP="007917A1">
      <w:pPr>
        <w:pStyle w:val="SOPLevel3"/>
      </w:pPr>
      <w:r w:rsidRPr="0057270D">
        <w:t>If the scientific/scholarly reviewer is not an IRB member, determine whether the</w:t>
      </w:r>
      <w:r w:rsidRPr="001458E5">
        <w:t xml:space="preserve"> </w:t>
      </w:r>
      <w:r>
        <w:t xml:space="preserve">scientific/scholarly reviewer </w:t>
      </w:r>
      <w:r w:rsidRPr="001458E5">
        <w:t xml:space="preserve">has a </w:t>
      </w:r>
      <w:r w:rsidRPr="007917A1">
        <w:rPr>
          <w:u w:val="double"/>
        </w:rPr>
        <w:t>Conflicting Interest</w:t>
      </w:r>
      <w:r w:rsidRPr="001458E5">
        <w:t xml:space="preserve"> as defined in “</w:t>
      </w:r>
      <w:r>
        <w:t>SOP: Definitions (HRP-001)</w:t>
      </w:r>
      <w:r w:rsidRPr="001458E5">
        <w:t xml:space="preserve">.” If so, </w:t>
      </w:r>
      <w:r>
        <w:t xml:space="preserve">assign </w:t>
      </w:r>
      <w:r w:rsidRPr="001458E5">
        <w:t xml:space="preserve">another </w:t>
      </w:r>
      <w:r>
        <w:t>scientific/scholarly reviewer</w:t>
      </w:r>
      <w:r w:rsidRPr="001458E5">
        <w:t>.</w:t>
      </w:r>
    </w:p>
    <w:p w14:paraId="1D422503" w14:textId="77777777" w:rsidR="004D1446" w:rsidRDefault="004D1446" w:rsidP="009F5FD8">
      <w:pPr>
        <w:pStyle w:val="SOPLevel2"/>
      </w:pPr>
      <w:r>
        <w:t>Use “WORKSHEET: Quorum and Expertise (HRP-305)” to ensure that the meeting will be appropriately convened</w:t>
      </w:r>
      <w:r w:rsidRPr="007C7590">
        <w:t xml:space="preserve"> </w:t>
      </w:r>
      <w:r>
        <w:t>and to ensure the IRB will have the appropriate expertise for each protocol.</w:t>
      </w:r>
    </w:p>
    <w:p w14:paraId="0D92ABE0" w14:textId="77777777" w:rsidR="004D1446" w:rsidRDefault="004D1446" w:rsidP="007C7590">
      <w:pPr>
        <w:pStyle w:val="SOPLevel3"/>
      </w:pPr>
      <w:r>
        <w:t>If the meeting will not meet the quorum and expertise requirements, take steps to obtain the required attendance of members and consultants or cancel the meeting.</w:t>
      </w:r>
    </w:p>
    <w:p w14:paraId="4ED8644D" w14:textId="77777777" w:rsidR="004D1446" w:rsidRDefault="004D1446" w:rsidP="0004797A">
      <w:pPr>
        <w:pStyle w:val="SOPLevel3"/>
      </w:pPr>
      <w:r>
        <w:t>Follow the procedures in “SOP: Consultation (HRP-051)” to obtain consultants. Note any consultants on the agenda.</w:t>
      </w:r>
    </w:p>
    <w:p w14:paraId="5E8CB317" w14:textId="77777777" w:rsidR="004D1446" w:rsidRPr="00D26A9F" w:rsidRDefault="004D1446" w:rsidP="00F13F1B">
      <w:pPr>
        <w:pStyle w:val="SOPLevel2"/>
        <w:rPr>
          <w:color w:val="000000"/>
        </w:rPr>
      </w:pPr>
      <w:r w:rsidRPr="00D26A9F">
        <w:rPr>
          <w:color w:val="000000"/>
        </w:rPr>
        <w:t>For individuals who are provided materials (IRB members, scientific/scholarly reviewers, consultants)</w:t>
      </w:r>
      <w:r w:rsidR="00F272FD" w:rsidRPr="00D26A9F">
        <w:rPr>
          <w:color w:val="000000"/>
        </w:rPr>
        <w:t>:</w:t>
      </w:r>
    </w:p>
    <w:p w14:paraId="56BF6061" w14:textId="77777777" w:rsidR="004D1446" w:rsidRPr="00884824" w:rsidRDefault="004D1446" w:rsidP="005309E1">
      <w:pPr>
        <w:pStyle w:val="SOPLevel3"/>
      </w:pPr>
      <w:r w:rsidRPr="00884824">
        <w:t>Prepare review materials using “WORKSHEET: Review Materials (HRP-301)” according to the individual’s role.</w:t>
      </w:r>
    </w:p>
    <w:p w14:paraId="06E16014" w14:textId="77777777" w:rsidR="004D1446" w:rsidRPr="00884824" w:rsidRDefault="004D1446" w:rsidP="005309E1">
      <w:pPr>
        <w:pStyle w:val="SOPLevel3"/>
      </w:pPr>
      <w:r w:rsidRPr="00884824">
        <w:t xml:space="preserve">Ensure review materials are available in the submission using “WORKSHEET: Review Materials (HRP-301).” </w:t>
      </w:r>
    </w:p>
    <w:p w14:paraId="0F2F95E4" w14:textId="77777777" w:rsidR="004D1446" w:rsidRPr="00884824" w:rsidRDefault="004D1446" w:rsidP="005309E1">
      <w:pPr>
        <w:pStyle w:val="SOPLevel3"/>
      </w:pPr>
      <w:r w:rsidRPr="00884824">
        <w:t>Deliver or mail review materials.</w:t>
      </w:r>
    </w:p>
    <w:p w14:paraId="2AD46977" w14:textId="77777777" w:rsidR="004D1446" w:rsidRPr="0057270D" w:rsidRDefault="004D1446" w:rsidP="008576AA">
      <w:pPr>
        <w:pStyle w:val="SOPLevel1"/>
      </w:pPr>
      <w:r w:rsidRPr="0057270D">
        <w:t>MATERIALS</w:t>
      </w:r>
    </w:p>
    <w:p w14:paraId="31DEB1D4" w14:textId="77777777" w:rsidR="004D1446" w:rsidRDefault="004D1446" w:rsidP="001C34E7">
      <w:pPr>
        <w:pStyle w:val="SOPLevel2"/>
      </w:pPr>
      <w:r>
        <w:lastRenderedPageBreak/>
        <w:t>DATABASE: IRB Roster (HRP-601)</w:t>
      </w:r>
    </w:p>
    <w:p w14:paraId="4758E350" w14:textId="77777777" w:rsidR="004D1446" w:rsidRDefault="004D1446" w:rsidP="001C34E7">
      <w:pPr>
        <w:pStyle w:val="SOPLevel2"/>
      </w:pPr>
      <w:r>
        <w:t>SOP: Consultation (HRP-051)</w:t>
      </w:r>
    </w:p>
    <w:p w14:paraId="381550F9" w14:textId="77777777" w:rsidR="004D1446" w:rsidRDefault="004D1446" w:rsidP="0004797A">
      <w:pPr>
        <w:pStyle w:val="SOPLevel2"/>
      </w:pPr>
      <w:r>
        <w:t>SOP: Definitions (HRP-001)</w:t>
      </w:r>
    </w:p>
    <w:p w14:paraId="24D0434A" w14:textId="77777777" w:rsidR="004D1446" w:rsidRDefault="004D1446" w:rsidP="00DC69E8">
      <w:pPr>
        <w:pStyle w:val="SOPLevel2"/>
      </w:pPr>
      <w:r>
        <w:t>WORKSHEET: Review Materials (HRP-301).</w:t>
      </w:r>
    </w:p>
    <w:p w14:paraId="64B237C3" w14:textId="77777777" w:rsidR="004D1446" w:rsidRDefault="004D1446" w:rsidP="003823B0">
      <w:pPr>
        <w:pStyle w:val="SOPLevel2"/>
      </w:pPr>
      <w:r>
        <w:t>WORKSHEET: Quorum and Expertise (HRP-305).</w:t>
      </w:r>
    </w:p>
    <w:p w14:paraId="2412116D" w14:textId="77777777" w:rsidR="004D1446" w:rsidRPr="008576AA" w:rsidRDefault="004D1446" w:rsidP="008576AA">
      <w:pPr>
        <w:pStyle w:val="SOPLevel1"/>
      </w:pPr>
      <w:r w:rsidRPr="008576AA">
        <w:t>REFERENCES</w:t>
      </w:r>
    </w:p>
    <w:p w14:paraId="6433576A" w14:textId="77777777" w:rsidR="004D1446" w:rsidRDefault="004D1446" w:rsidP="00BA6AAD">
      <w:pPr>
        <w:pStyle w:val="SOPLevel2"/>
      </w:pPr>
      <w:r>
        <w:t xml:space="preserve">45 CFR </w:t>
      </w:r>
      <w:r w:rsidRPr="00BF7BB0">
        <w:t>§</w:t>
      </w:r>
      <w:r>
        <w:t>46.108(b)</w:t>
      </w:r>
    </w:p>
    <w:p w14:paraId="20AD6F07" w14:textId="77777777" w:rsidR="004D1446" w:rsidRDefault="004D1446" w:rsidP="00BF7BB0">
      <w:pPr>
        <w:pStyle w:val="SOPLevel2"/>
      </w:pPr>
      <w:r>
        <w:t xml:space="preserve">21 CFR </w:t>
      </w:r>
      <w:r w:rsidRPr="00BF7BB0">
        <w:t>§</w:t>
      </w:r>
      <w:r>
        <w:t>56.108(b)</w:t>
      </w:r>
    </w:p>
    <w:p w14:paraId="38891A23" w14:textId="77777777" w:rsidR="007D12DC" w:rsidRDefault="007D12DC"/>
    <w:sectPr w:rsidR="007D12DC" w:rsidSect="00F27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F511" w14:textId="77777777" w:rsidR="009950F0" w:rsidRDefault="009950F0">
      <w:pPr>
        <w:spacing w:after="0" w:line="240" w:lineRule="auto"/>
      </w:pPr>
      <w:r>
        <w:separator/>
      </w:r>
    </w:p>
  </w:endnote>
  <w:endnote w:type="continuationSeparator" w:id="0">
    <w:p w14:paraId="7174A679" w14:textId="77777777" w:rsidR="009950F0" w:rsidRDefault="0099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8B1E" w14:textId="77777777" w:rsidR="00ED1A10" w:rsidRDefault="00ED1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BFFB" w14:textId="77777777" w:rsidR="003D14D7" w:rsidRPr="005C1BA7" w:rsidRDefault="00027869" w:rsidP="005C1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1AAED" w14:textId="77777777" w:rsidR="00ED1A10" w:rsidRDefault="00ED1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29184" w14:textId="77777777" w:rsidR="009950F0" w:rsidRDefault="009950F0">
      <w:pPr>
        <w:spacing w:after="0" w:line="240" w:lineRule="auto"/>
      </w:pPr>
      <w:r>
        <w:separator/>
      </w:r>
    </w:p>
  </w:footnote>
  <w:footnote w:type="continuationSeparator" w:id="0">
    <w:p w14:paraId="5BA6EEA2" w14:textId="77777777" w:rsidR="009950F0" w:rsidRDefault="0099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67F1" w14:textId="77777777" w:rsidR="00ED1A10" w:rsidRDefault="00ED1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19"/>
      <w:gridCol w:w="977"/>
      <w:gridCol w:w="1548"/>
      <w:gridCol w:w="1609"/>
      <w:gridCol w:w="852"/>
    </w:tblGrid>
    <w:tr w:rsidR="005C1BA7" w:rsidRPr="00D50FDD" w14:paraId="50C362FF" w14:textId="77777777" w:rsidTr="008C69E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DF776F" w14:textId="63C849D4" w:rsidR="005C1BA7" w:rsidRPr="00D50FDD" w:rsidRDefault="00D92E6A" w:rsidP="005C1BA7">
          <w:pPr>
            <w:rPr>
              <w:rFonts w:ascii="Arial" w:hAnsi="Arial" w:cs="Arial"/>
            </w:rPr>
          </w:pPr>
          <w:bookmarkStart w:id="1" w:name="_Hlk530966315"/>
          <w:r>
            <w:rPr>
              <w:noProof/>
              <w:sz w:val="20"/>
            </w:rPr>
            <w:drawing>
              <wp:inline distT="0" distB="0" distL="0" distR="0" wp14:anchorId="17E278E5" wp14:editId="6644AE80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F59E37" w14:textId="77777777" w:rsidR="005C1BA7" w:rsidRPr="00D50FDD" w:rsidRDefault="005C1BA7" w:rsidP="005C1BA7">
          <w:pPr>
            <w:pStyle w:val="SOPName"/>
            <w:spacing w:before="120" w:after="120"/>
            <w:jc w:val="center"/>
            <w:rPr>
              <w:rFonts w:cs="Arial"/>
            </w:rPr>
          </w:pPr>
          <w:r w:rsidRPr="00D50FDD">
            <w:rPr>
              <w:rStyle w:val="SOPLeader"/>
              <w:rFonts w:ascii="Arial" w:hAnsi="Arial" w:cs="Arial"/>
            </w:rPr>
            <w:t>SOP: IRB Meeting Preparation</w:t>
          </w:r>
        </w:p>
      </w:tc>
    </w:tr>
    <w:tr w:rsidR="005C1BA7" w:rsidRPr="00D50FDD" w14:paraId="67825287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2B9A142" w14:textId="77777777" w:rsidR="005C1BA7" w:rsidRPr="00D50FDD" w:rsidRDefault="005C1BA7" w:rsidP="005C1BA7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66C4BE6" w14:textId="77777777" w:rsidR="005C1BA7" w:rsidRPr="00D50FDD" w:rsidRDefault="005C1BA7" w:rsidP="005C1BA7">
          <w:pPr>
            <w:pStyle w:val="SOPTableHeader"/>
            <w:rPr>
              <w:rFonts w:cs="Arial"/>
              <w:sz w:val="18"/>
              <w:szCs w:val="18"/>
            </w:rPr>
          </w:pPr>
          <w:r w:rsidRPr="00D50FDD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3A89830" w14:textId="77777777" w:rsidR="005C1BA7" w:rsidRPr="00D50FDD" w:rsidRDefault="005C1BA7" w:rsidP="005C1BA7">
          <w:pPr>
            <w:pStyle w:val="SOPTableHeader"/>
            <w:rPr>
              <w:rFonts w:cs="Arial"/>
              <w:sz w:val="18"/>
              <w:szCs w:val="18"/>
            </w:rPr>
          </w:pPr>
          <w:r w:rsidRPr="00D50FDD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5E336EA" w14:textId="77777777" w:rsidR="005C1BA7" w:rsidRPr="00D50FDD" w:rsidRDefault="005C1BA7" w:rsidP="005C1BA7">
          <w:pPr>
            <w:pStyle w:val="SOPTableHeader"/>
            <w:rPr>
              <w:rFonts w:cs="Arial"/>
              <w:sz w:val="18"/>
              <w:szCs w:val="18"/>
            </w:rPr>
          </w:pPr>
          <w:r w:rsidRPr="00D50FDD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8BE81CE" w14:textId="77777777" w:rsidR="005C1BA7" w:rsidRPr="00D50FDD" w:rsidRDefault="005C1BA7" w:rsidP="005C1BA7">
          <w:pPr>
            <w:pStyle w:val="SOPTableHeader"/>
            <w:rPr>
              <w:rFonts w:cs="Arial"/>
              <w:sz w:val="18"/>
              <w:szCs w:val="18"/>
            </w:rPr>
          </w:pPr>
          <w:r w:rsidRPr="00D50FDD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F868AA8" w14:textId="77777777" w:rsidR="005C1BA7" w:rsidRPr="00D50FDD" w:rsidRDefault="005C1BA7" w:rsidP="005C1BA7">
          <w:pPr>
            <w:pStyle w:val="SOPTableHeader"/>
            <w:rPr>
              <w:rFonts w:cs="Arial"/>
              <w:sz w:val="18"/>
              <w:szCs w:val="18"/>
            </w:rPr>
          </w:pPr>
          <w:r w:rsidRPr="00D50FDD">
            <w:rPr>
              <w:rFonts w:cs="Arial"/>
              <w:sz w:val="18"/>
              <w:szCs w:val="18"/>
            </w:rPr>
            <w:t>PAGE</w:t>
          </w:r>
        </w:p>
      </w:tc>
    </w:tr>
    <w:tr w:rsidR="005C1BA7" w:rsidRPr="00D50FDD" w14:paraId="29DAAA40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DA4FCDB" w14:textId="77777777" w:rsidR="005C1BA7" w:rsidRPr="00D50FDD" w:rsidRDefault="005C1BA7" w:rsidP="005C1BA7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D85220C" w14:textId="77777777" w:rsidR="005C1BA7" w:rsidRPr="00D50FDD" w:rsidRDefault="005C1BA7" w:rsidP="005C1BA7">
          <w:pPr>
            <w:pStyle w:val="SOPTableEntry"/>
            <w:rPr>
              <w:rFonts w:cs="Arial"/>
            </w:rPr>
          </w:pPr>
          <w:r w:rsidRPr="00D50FDD">
            <w:rPr>
              <w:rFonts w:cs="Arial"/>
            </w:rPr>
            <w:t>HRP-040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777DA96" w14:textId="61CCCFED" w:rsidR="005C1BA7" w:rsidRPr="00D50FDD" w:rsidRDefault="00027869" w:rsidP="005C1BA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C09771F" w14:textId="687F40CF" w:rsidR="005C1BA7" w:rsidRPr="00D50FDD" w:rsidRDefault="00D92E6A" w:rsidP="005C1BA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22BB6CD" w14:textId="74EE6174" w:rsidR="005C1BA7" w:rsidRPr="00D50FDD" w:rsidRDefault="00027869" w:rsidP="005C1BA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210CED0" w14:textId="77777777" w:rsidR="005C1BA7" w:rsidRPr="00D50FDD" w:rsidRDefault="005C1BA7" w:rsidP="005C1BA7">
          <w:pPr>
            <w:pStyle w:val="SOPTableEntry"/>
            <w:rPr>
              <w:rFonts w:cs="Arial"/>
            </w:rPr>
          </w:pPr>
          <w:r w:rsidRPr="00D50FDD">
            <w:rPr>
              <w:rFonts w:cs="Arial"/>
            </w:rPr>
            <w:fldChar w:fldCharType="begin"/>
          </w:r>
          <w:r w:rsidRPr="00D50FDD">
            <w:rPr>
              <w:rFonts w:cs="Arial"/>
            </w:rPr>
            <w:instrText xml:space="preserve"> PAGE </w:instrText>
          </w:r>
          <w:r w:rsidRPr="00D50FDD">
            <w:rPr>
              <w:rFonts w:cs="Arial"/>
            </w:rPr>
            <w:fldChar w:fldCharType="separate"/>
          </w:r>
          <w:r w:rsidRPr="00D50FDD">
            <w:rPr>
              <w:rFonts w:cs="Arial"/>
              <w:noProof/>
            </w:rPr>
            <w:t>1</w:t>
          </w:r>
          <w:r w:rsidRPr="00D50FDD">
            <w:rPr>
              <w:rFonts w:cs="Arial"/>
            </w:rPr>
            <w:fldChar w:fldCharType="end"/>
          </w:r>
          <w:r w:rsidRPr="00D50FDD">
            <w:rPr>
              <w:rFonts w:cs="Arial"/>
            </w:rPr>
            <w:t xml:space="preserve"> of </w:t>
          </w:r>
          <w:r w:rsidRPr="00D50FDD">
            <w:rPr>
              <w:rFonts w:cs="Arial"/>
              <w:noProof/>
            </w:rPr>
            <w:fldChar w:fldCharType="begin"/>
          </w:r>
          <w:r w:rsidRPr="00D50FDD">
            <w:rPr>
              <w:rFonts w:cs="Arial"/>
              <w:noProof/>
            </w:rPr>
            <w:instrText xml:space="preserve"> NUMPAGES </w:instrText>
          </w:r>
          <w:r w:rsidRPr="00D50FDD">
            <w:rPr>
              <w:rFonts w:cs="Arial"/>
              <w:noProof/>
            </w:rPr>
            <w:fldChar w:fldCharType="separate"/>
          </w:r>
          <w:r w:rsidRPr="00D50FDD">
            <w:rPr>
              <w:rFonts w:cs="Arial"/>
              <w:noProof/>
            </w:rPr>
            <w:t>6</w:t>
          </w:r>
          <w:r w:rsidRPr="00D50FDD">
            <w:rPr>
              <w:rFonts w:cs="Arial"/>
              <w:noProof/>
            </w:rPr>
            <w:fldChar w:fldCharType="end"/>
          </w:r>
        </w:p>
      </w:tc>
    </w:tr>
    <w:bookmarkEnd w:id="1"/>
  </w:tbl>
  <w:p w14:paraId="44C224ED" w14:textId="77777777" w:rsidR="00DE4199" w:rsidRPr="007A2BC4" w:rsidRDefault="00027869" w:rsidP="00F1605E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AE78" w14:textId="77777777" w:rsidR="00ED1A10" w:rsidRDefault="00ED1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446"/>
    <w:rsid w:val="00027869"/>
    <w:rsid w:val="00264BD3"/>
    <w:rsid w:val="002B260F"/>
    <w:rsid w:val="002D567D"/>
    <w:rsid w:val="002E3700"/>
    <w:rsid w:val="00385165"/>
    <w:rsid w:val="003A2BF0"/>
    <w:rsid w:val="004D1446"/>
    <w:rsid w:val="004E2F8E"/>
    <w:rsid w:val="005015EE"/>
    <w:rsid w:val="00541B1E"/>
    <w:rsid w:val="0057270D"/>
    <w:rsid w:val="005C1BA7"/>
    <w:rsid w:val="005F3BD5"/>
    <w:rsid w:val="006470BB"/>
    <w:rsid w:val="007D12DC"/>
    <w:rsid w:val="00853078"/>
    <w:rsid w:val="00884824"/>
    <w:rsid w:val="008F7CE9"/>
    <w:rsid w:val="00974B04"/>
    <w:rsid w:val="009950F0"/>
    <w:rsid w:val="009D3F97"/>
    <w:rsid w:val="00A13937"/>
    <w:rsid w:val="00A74978"/>
    <w:rsid w:val="00AB3AD3"/>
    <w:rsid w:val="00AE26B4"/>
    <w:rsid w:val="00BE50E9"/>
    <w:rsid w:val="00BE6281"/>
    <w:rsid w:val="00D26A9F"/>
    <w:rsid w:val="00D40AF9"/>
    <w:rsid w:val="00D50FDD"/>
    <w:rsid w:val="00D92E6A"/>
    <w:rsid w:val="00DE33D5"/>
    <w:rsid w:val="00EC33B2"/>
    <w:rsid w:val="00ED1A10"/>
    <w:rsid w:val="00F07E4C"/>
    <w:rsid w:val="00F1605E"/>
    <w:rsid w:val="00F16C10"/>
    <w:rsid w:val="00F272FD"/>
    <w:rsid w:val="00F278DB"/>
    <w:rsid w:val="00F528D7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8F31B6"/>
  <w15:docId w15:val="{F46D266D-A698-4049-B284-EF773FAF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4D1446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4D1446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4D1446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4D1446"/>
    <w:rPr>
      <w:color w:val="0000FF"/>
      <w:u w:val="single"/>
    </w:rPr>
  </w:style>
  <w:style w:type="paragraph" w:customStyle="1" w:styleId="SOPTableHeader">
    <w:name w:val="SOP Table Header"/>
    <w:basedOn w:val="Normal"/>
    <w:rsid w:val="004D1446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4D1446"/>
    <w:rPr>
      <w:sz w:val="18"/>
    </w:rPr>
  </w:style>
  <w:style w:type="paragraph" w:customStyle="1" w:styleId="SOPLevel1">
    <w:name w:val="SOP Level 1"/>
    <w:basedOn w:val="Normal"/>
    <w:rsid w:val="004D1446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4D1446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4D1446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4D1446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4D1446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4D1446"/>
    <w:pPr>
      <w:numPr>
        <w:ilvl w:val="5"/>
      </w:numPr>
      <w:ind w:left="5400" w:hanging="1440"/>
    </w:pPr>
  </w:style>
  <w:style w:type="character" w:styleId="CommentReference">
    <w:name w:val="annotation reference"/>
    <w:rsid w:val="004D14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14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C10"/>
  </w:style>
  <w:style w:type="paragraph" w:styleId="Footer">
    <w:name w:val="footer"/>
    <w:basedOn w:val="Normal"/>
    <w:link w:val="FooterChar"/>
    <w:uiPriority w:val="99"/>
    <w:unhideWhenUsed/>
    <w:rsid w:val="00F1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4A649-96FF-4C10-AEAD-34DE5DF4B7D7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6D22EC5E-4221-4531-BCE0-48E41640A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5C4A3-DE9A-4A5D-BA0A-01082015B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Meeting Preparation</vt:lpstr>
    </vt:vector>
  </TitlesOfParts>
  <Manager>Huron Consutling Group, Inc.</Manager>
  <Company>Huron Consulting Group, Inc.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Meeting Preparation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6</cp:revision>
  <dcterms:created xsi:type="dcterms:W3CDTF">2019-01-18T22:27:00Z</dcterms:created>
  <dcterms:modified xsi:type="dcterms:W3CDTF">2019-07-01T17:32:00Z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